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>
        <w:rPr>
          <w:b/>
          <w:i/>
        </w:rPr>
        <w:t>Desarrollo del Curso</w:t>
      </w:r>
      <w:bookmarkStart w:id="0" w:name="_GoBack"/>
      <w:bookmarkEnd w:id="0"/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</w:p>
    <w:p w:rsidR="003B18AE" w:rsidRPr="00B5359B" w:rsidRDefault="003B18AE" w:rsidP="003B18AE">
      <w:pPr>
        <w:autoSpaceDE w:val="0"/>
        <w:autoSpaceDN w:val="0"/>
        <w:adjustRightInd w:val="0"/>
        <w:spacing w:after="0" w:line="240" w:lineRule="auto"/>
      </w:pPr>
      <w:r w:rsidRPr="00B5359B">
        <w:t>UNIDAD 1 – CONTEXTO ENERGÉTICO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Concepto de energía, formas y propiedades</w:t>
      </w:r>
      <w:r w:rsidRPr="00C73962">
        <w:rPr>
          <w:rFonts w:ascii="Calibri" w:hAnsi="Calibri"/>
        </w:rPr>
        <w:t>.</w:t>
      </w:r>
      <w:r>
        <w:rPr>
          <w:rFonts w:ascii="Calibri" w:hAnsi="Calibri"/>
        </w:rPr>
        <w:t xml:space="preserve"> Procesos y transformaciones. Leyes de la termodinámica. Conceptos de Eficiencia, Potencia y Energía. Energía primaria, secundaria, útil. Diversidad de fuentes de energía: renovables y no renovables. Balance Energético Nacional. Generación, transporte y consumo de energía. Energía eléctrica. Escenarios energéticos. Ejemplos. Cadena energética: transformación, transporte, distribución, almacenamiento y comercialización.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</w:p>
    <w:p w:rsidR="003B18AE" w:rsidRPr="00B5359B" w:rsidRDefault="003B18AE" w:rsidP="003B18AE">
      <w:pPr>
        <w:autoSpaceDE w:val="0"/>
        <w:autoSpaceDN w:val="0"/>
        <w:adjustRightInd w:val="0"/>
        <w:spacing w:after="0" w:line="240" w:lineRule="auto"/>
      </w:pPr>
      <w:r w:rsidRPr="00B5359B">
        <w:t>UNIDAD 2 – ENERGÍA BIOMÁSICA: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  <w:r w:rsidRPr="00B5359B">
        <w:t>Definición general de biomasa. Características principales de sus fuentes de energía. Recursos primarios, secundarios y terciarios. Procesos y tecnologías de aprovechamiento. Contexto mundial. Combustión directa. Densificación. Procesos termofísicos. Procesos termoquímicos.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</w:p>
    <w:p w:rsidR="003B18AE" w:rsidRPr="00B5359B" w:rsidRDefault="003B18AE" w:rsidP="003B18AE">
      <w:pPr>
        <w:autoSpaceDE w:val="0"/>
        <w:autoSpaceDN w:val="0"/>
        <w:adjustRightInd w:val="0"/>
        <w:spacing w:after="0" w:line="240" w:lineRule="auto"/>
      </w:pPr>
      <w:r w:rsidRPr="00B5359B">
        <w:t>UNIDAD 3 – ENERGÍA EÓLICA:</w:t>
      </w:r>
    </w:p>
    <w:p w:rsidR="003B18AE" w:rsidRPr="00B5359B" w:rsidRDefault="003B18AE" w:rsidP="003B18AE">
      <w:r w:rsidRPr="00B5359B">
        <w:t>Princi</w:t>
      </w:r>
      <w:r>
        <w:t>pios fundamentales de operación</w:t>
      </w:r>
      <w:r w:rsidRPr="00B5359B">
        <w:t>.</w:t>
      </w:r>
      <w:r>
        <w:t xml:space="preserve"> Física del viento. Tipos de aerogeneradores.</w:t>
      </w:r>
      <w:r w:rsidRPr="00B5359B">
        <w:t xml:space="preserve"> Alta </w:t>
      </w:r>
      <w:r>
        <w:t>p</w:t>
      </w:r>
      <w:r w:rsidRPr="00B5359B">
        <w:t>otencia y baja p</w:t>
      </w:r>
      <w:r>
        <w:t>otencia. Aspectos económicos y fi</w:t>
      </w:r>
      <w:r w:rsidRPr="00B5359B">
        <w:t xml:space="preserve">nancieros. </w:t>
      </w:r>
      <w:r>
        <w:t>Contexto Mundial y Nacional (Aprovechamiento eólico y mapa de distribución)</w:t>
      </w:r>
      <w:r w:rsidRPr="00B5359B">
        <w:t>. Ejemplos práctico</w:t>
      </w:r>
      <w:r>
        <w:t>s. Aerogenerador autofabricable.</w:t>
      </w:r>
    </w:p>
    <w:p w:rsidR="003B18AE" w:rsidRPr="00B5359B" w:rsidRDefault="003B18AE" w:rsidP="003B18AE">
      <w:pPr>
        <w:autoSpaceDE w:val="0"/>
        <w:autoSpaceDN w:val="0"/>
        <w:adjustRightInd w:val="0"/>
        <w:spacing w:after="0" w:line="240" w:lineRule="auto"/>
      </w:pPr>
      <w:r w:rsidRPr="00B5359B">
        <w:t>UNIDAD 4 – ENERGÍA SOLAR</w:t>
      </w:r>
    </w:p>
    <w:p w:rsidR="003B18AE" w:rsidRPr="00B5359B" w:rsidRDefault="003B18AE" w:rsidP="003B18AE">
      <w:pPr>
        <w:autoSpaceDE w:val="0"/>
        <w:autoSpaceDN w:val="0"/>
        <w:adjustRightInd w:val="0"/>
        <w:spacing w:after="0" w:line="240" w:lineRule="auto"/>
      </w:pPr>
      <w:r w:rsidRPr="00B5359B">
        <w:t>Radiación solar y conceptos vinculados. Tecnologías solares. Energía solar térmica. Colectores solares térmicos: mercado mundial, tipo de sistemas, características principales de las instalaciones, costos, viabilida</w:t>
      </w:r>
      <w:r>
        <w:t>des. Energía solar fotovoltaica. Conceptos eléctricos fundamentales. Tipos de conexionado. Dimensionado de sistema fotovoltaico. M</w:t>
      </w:r>
      <w:r w:rsidRPr="00B5359B">
        <w:t>ercado mundial, tipo de sistemas, características principales de las instalaciones, costos, viabilidades.</w:t>
      </w:r>
      <w:r>
        <w:t xml:space="preserve"> Ejemplos. 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  <w:r>
        <w:t>UNIDAD 5 – EFICIENCIA ENERGÉTICA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</w:pPr>
      <w:r>
        <w:t>Tipos de Fuentes de generación de Energía Eléctrica. Generadores y consumidores. Demanda típica. Ahorro energético. Escenario a futuro.</w:t>
      </w:r>
    </w:p>
    <w:p w:rsidR="003B18AE" w:rsidRDefault="003B18AE">
      <w:pPr>
        <w:spacing w:after="200" w:line="276" w:lineRule="auto"/>
      </w:pPr>
      <w:r>
        <w:br w:type="page"/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 w:rsidRPr="00E33ABF">
        <w:rPr>
          <w:b/>
          <w:i/>
          <w:u w:val="single"/>
        </w:rPr>
        <w:lastRenderedPageBreak/>
        <w:t>Taller solar térmico</w:t>
      </w:r>
      <w:r>
        <w:rPr>
          <w:b/>
          <w:i/>
        </w:rPr>
        <w:t>: los alumnos realizarán la instalación de un termotanque solar termosifónico, desde el armado de su estructura, la colocación de tubos evacuados, la termofusión de sus cañerías, y el abastecimiento de agua de red; obteniendo agua caliente con energía solar.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>
        <w:rPr>
          <w:b/>
          <w:i/>
          <w:noProof/>
          <w:lang w:eastAsia="es-ES"/>
        </w:rPr>
        <w:drawing>
          <wp:inline distT="0" distB="0" distL="0" distR="0" wp14:anchorId="1CF3CDC3" wp14:editId="5029640B">
            <wp:extent cx="4216400" cy="4921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>
        <w:rPr>
          <w:b/>
          <w:i/>
          <w:noProof/>
          <w:lang w:eastAsia="es-ES"/>
        </w:rPr>
        <w:lastRenderedPageBreak/>
        <w:drawing>
          <wp:inline distT="0" distB="0" distL="0" distR="0" wp14:anchorId="5EEFC84B" wp14:editId="2FE3DE55">
            <wp:extent cx="4267200" cy="4667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>
        <w:rPr>
          <w:b/>
          <w:i/>
          <w:noProof/>
          <w:lang w:eastAsia="es-ES"/>
        </w:rPr>
        <w:lastRenderedPageBreak/>
        <w:drawing>
          <wp:inline distT="0" distB="0" distL="0" distR="0" wp14:anchorId="53D52ABC" wp14:editId="33D54F8E">
            <wp:extent cx="5613400" cy="4013200"/>
            <wp:effectExtent l="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 w:rsidRPr="00E33ABF">
        <w:rPr>
          <w:b/>
          <w:i/>
          <w:u w:val="single"/>
        </w:rPr>
        <w:t>Taller solar Fotovoltaico</w:t>
      </w:r>
      <w:r>
        <w:rPr>
          <w:b/>
          <w:i/>
        </w:rPr>
        <w:t>: los alumnos realizarán la medición de parámetros eléctricos como potencia, corriente y tensión, conexionado de paneles en serie y paralelo, armado de un sistema OFF GRID para abastecimiento de energía eléctrica aislado de la red.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>
        <w:rPr>
          <w:b/>
          <w:i/>
          <w:noProof/>
          <w:lang w:eastAsia="es-ES"/>
        </w:rPr>
        <w:lastRenderedPageBreak/>
        <w:drawing>
          <wp:inline distT="0" distB="0" distL="0" distR="0" wp14:anchorId="1959CB96" wp14:editId="24E3FA88">
            <wp:extent cx="5607050" cy="3644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>
        <w:rPr>
          <w:b/>
          <w:i/>
          <w:noProof/>
          <w:lang w:eastAsia="es-ES"/>
        </w:rPr>
        <w:drawing>
          <wp:inline distT="0" distB="0" distL="0" distR="0" wp14:anchorId="590F005B" wp14:editId="2F8D91CE">
            <wp:extent cx="5607050" cy="3238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AE" w:rsidRPr="00372031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 w:rsidRPr="00372031">
        <w:rPr>
          <w:b/>
          <w:i/>
        </w:rPr>
        <w:t>Evaluación teórico práctica al finalizar el curso.</w:t>
      </w:r>
    </w:p>
    <w:p w:rsidR="003B18AE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:rsidR="003B18AE" w:rsidRPr="00372031" w:rsidRDefault="003B18AE" w:rsidP="003B18AE">
      <w:pPr>
        <w:autoSpaceDE w:val="0"/>
        <w:autoSpaceDN w:val="0"/>
        <w:adjustRightInd w:val="0"/>
        <w:spacing w:after="0" w:line="240" w:lineRule="auto"/>
        <w:rPr>
          <w:b/>
          <w:i/>
        </w:rPr>
      </w:pPr>
      <w:r w:rsidRPr="00372031">
        <w:rPr>
          <w:b/>
          <w:i/>
        </w:rPr>
        <w:t>Se entregará certificado de Aprobación y asistencia.</w:t>
      </w:r>
    </w:p>
    <w:p w:rsidR="00CF4C72" w:rsidRDefault="00CF4C72"/>
    <w:sectPr w:rsidR="00CF4C72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21" w:rsidRDefault="00EA4F21" w:rsidP="003B18AE">
      <w:pPr>
        <w:spacing w:after="0" w:line="240" w:lineRule="auto"/>
      </w:pPr>
      <w:r>
        <w:separator/>
      </w:r>
    </w:p>
  </w:endnote>
  <w:endnote w:type="continuationSeparator" w:id="0">
    <w:p w:rsidR="00EA4F21" w:rsidRDefault="00EA4F21" w:rsidP="003B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21" w:rsidRDefault="00EA4F21" w:rsidP="003B18AE">
      <w:pPr>
        <w:spacing w:after="0" w:line="240" w:lineRule="auto"/>
      </w:pPr>
      <w:r>
        <w:separator/>
      </w:r>
    </w:p>
  </w:footnote>
  <w:footnote w:type="continuationSeparator" w:id="0">
    <w:p w:rsidR="00EA4F21" w:rsidRDefault="00EA4F21" w:rsidP="003B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AE" w:rsidRDefault="003B18AE" w:rsidP="003B18AE">
    <w:pPr>
      <w:spacing w:before="40" w:after="40"/>
      <w:ind w:hanging="992"/>
      <w:jc w:val="center"/>
      <w:rPr>
        <w:rFonts w:ascii="Times New Roman" w:hAnsi="Times New Roman" w:cs="Times New Roman"/>
        <w:b/>
        <w:bCs/>
        <w:i/>
        <w:color w:val="000000"/>
        <w:sz w:val="20"/>
        <w:szCs w:val="20"/>
      </w:rPr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647700</wp:posOffset>
          </wp:positionH>
          <wp:positionV relativeFrom="paragraph">
            <wp:posOffset>-174625</wp:posOffset>
          </wp:positionV>
          <wp:extent cx="342900" cy="356235"/>
          <wp:effectExtent l="0" t="0" r="0" b="5715"/>
          <wp:wrapTopAndBottom/>
          <wp:docPr id="6" name="Imagen 6" descr="ARANA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ARANA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6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i/>
        <w:sz w:val="24"/>
      </w:rPr>
      <w:tab/>
    </w:r>
    <w:r>
      <w:rPr>
        <w:b/>
        <w:bCs/>
        <w:i/>
        <w:color w:val="000000"/>
      </w:rPr>
      <w:t xml:space="preserve">                                                                                                   “</w:t>
    </w:r>
    <w:r>
      <w:rPr>
        <w:rFonts w:ascii="Times New Roman" w:hAnsi="Times New Roman" w:cs="Times New Roman"/>
        <w:b/>
        <w:bCs/>
        <w:i/>
        <w:color w:val="000000"/>
        <w:sz w:val="20"/>
        <w:szCs w:val="20"/>
      </w:rPr>
      <w:t xml:space="preserve">Las Malvinas son argentinas“                </w:t>
    </w:r>
  </w:p>
  <w:p w:rsidR="003B18AE" w:rsidRDefault="003B18AE" w:rsidP="003B18AE">
    <w:pPr>
      <w:spacing w:before="40" w:after="40"/>
      <w:ind w:hanging="992"/>
      <w:rPr>
        <w:rFonts w:ascii="Times New Roman" w:hAnsi="Times New Roman" w:cs="Times New Roman"/>
        <w:bCs/>
        <w:i/>
        <w:color w:val="000000"/>
        <w:sz w:val="20"/>
      </w:rPr>
    </w:pPr>
    <w:r>
      <w:rPr>
        <w:bCs/>
        <w:i/>
        <w:color w:val="000000"/>
      </w:rPr>
      <w:tab/>
      <w:t xml:space="preserve">      </w:t>
    </w:r>
    <w:r>
      <w:rPr>
        <w:rFonts w:ascii="Times New Roman" w:hAnsi="Times New Roman" w:cs="Times New Roman"/>
        <w:bCs/>
        <w:i/>
        <w:color w:val="000000"/>
        <w:sz w:val="20"/>
      </w:rPr>
      <w:t>Ministerio de Educación</w:t>
    </w:r>
  </w:p>
  <w:p w:rsidR="003B18AE" w:rsidRDefault="003B18AE" w:rsidP="003B18AE">
    <w:pPr>
      <w:spacing w:before="40" w:after="40"/>
      <w:ind w:hanging="992"/>
      <w:rPr>
        <w:rFonts w:ascii="Times New Roman" w:hAnsi="Times New Roman" w:cs="Times New Roman"/>
        <w:bCs/>
        <w:i/>
        <w:color w:val="000000"/>
        <w:sz w:val="20"/>
      </w:rPr>
    </w:pPr>
    <w:r>
      <w:rPr>
        <w:rFonts w:ascii="Times New Roman" w:hAnsi="Times New Roman" w:cs="Times New Roman"/>
        <w:bCs/>
        <w:i/>
        <w:color w:val="000000"/>
        <w:sz w:val="20"/>
      </w:rPr>
      <w:t xml:space="preserve">                   Universidad Tecnológica Nacional         </w:t>
    </w:r>
  </w:p>
  <w:p w:rsidR="003B18AE" w:rsidRDefault="003B18AE" w:rsidP="003B18AE">
    <w:pPr>
      <w:spacing w:before="40" w:after="40"/>
      <w:ind w:hanging="992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bCs/>
        <w:i/>
        <w:color w:val="000000"/>
        <w:sz w:val="20"/>
      </w:rPr>
      <w:t xml:space="preserve">                    Facultad Regional  Mar del Plata</w:t>
    </w:r>
  </w:p>
  <w:p w:rsidR="003B18AE" w:rsidRDefault="003B18A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AE"/>
    <w:rsid w:val="003B18AE"/>
    <w:rsid w:val="00CF4C72"/>
    <w:rsid w:val="00EA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A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8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18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8AE"/>
  </w:style>
  <w:style w:type="paragraph" w:styleId="Piedepgina">
    <w:name w:val="footer"/>
    <w:basedOn w:val="Normal"/>
    <w:link w:val="PiedepginaCar"/>
    <w:uiPriority w:val="99"/>
    <w:unhideWhenUsed/>
    <w:rsid w:val="003B18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AE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8A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B18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18AE"/>
  </w:style>
  <w:style w:type="paragraph" w:styleId="Piedepgina">
    <w:name w:val="footer"/>
    <w:basedOn w:val="Normal"/>
    <w:link w:val="PiedepginaCar"/>
    <w:uiPriority w:val="99"/>
    <w:unhideWhenUsed/>
    <w:rsid w:val="003B18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1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Pentarakis</dc:creator>
  <cp:lastModifiedBy>Emanuel Pentarakis</cp:lastModifiedBy>
  <cp:revision>1</cp:revision>
  <dcterms:created xsi:type="dcterms:W3CDTF">2022-10-04T17:29:00Z</dcterms:created>
  <dcterms:modified xsi:type="dcterms:W3CDTF">2022-10-04T17:31:00Z</dcterms:modified>
</cp:coreProperties>
</file>